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 w:line="288" w:lineRule="auto"/>
      </w:pPr>
      <w:r>
        <w:rPr>
          <w:rFonts w:ascii="游ゴシック" w:eastAsia="游ゴシック" w:hAnsi="游ゴシック"/>
          <w:b/>
          <w:color w:val="13233A"/>
          <w:sz w:val="32"/>
          <w:szCs w:val="32"/>
        </w:rPr>
        <w:t xml:space="preserve">システム導入 稟議書の下書きシート</w:t>
      </w:r>
    </w:p>
    <w:p>
      <w:pPr>
        <w:spacing w:before="0" w:after="100" w:line="288" w:lineRule="auto"/>
      </w:pPr>
      <w:r>
        <w:rPr>
          <w:rFonts w:ascii="游ゴシック" w:eastAsia="游ゴシック" w:hAnsi="游ゴシック"/>
          <w:color w:val="5A6472"/>
          <w:sz w:val="19"/>
          <w:szCs w:val="19"/>
        </w:rPr>
        <w:t xml:space="preserve">決裁する人が見ているのは「買わないと何が起きるか」「他と比べたか」「失敗したときにどう畳むか」の3つです。ここを埋めてから、社内の稟議様式に貼り替えてください。</w:t>
      </w:r>
    </w:p>
    <w:p>
      <w:pPr>
        <w:spacing w:before="0" w:after="240" w:line="288" w:lineRule="auto"/>
        <w:pBdr>
          <w:left w:val="single" w:sz="18" w:space="8" w:color="C8842B"/>
        </w:pBdr>
      </w:pPr>
      <w:r>
        <w:rPr>
          <w:rFonts w:ascii="游ゴシック" w:eastAsia="游ゴシック" w:hAnsi="游ゴシック"/>
          <w:b/>
          <w:color w:val="C8842B"/>
          <w:sz w:val="19"/>
          <w:szCs w:val="19"/>
        </w:rPr>
        <w:t xml:space="preserve">A4で1〜2枚に収めてください。2枚を超えると読まれません。詳細は添付に回します。</w:t>
      </w:r>
    </w:p>
    <w:p>
      <w:pPr>
        <w:spacing w:before="240" w:after="100" w:line="288" w:lineRule="auto"/>
      </w:pPr>
      <w:r>
        <w:rPr>
          <w:rFonts w:ascii="游ゴシック" w:eastAsia="游ゴシック" w:hAnsi="游ゴシック"/>
          <w:b/>
          <w:color w:val="1C8273"/>
          <w:sz w:val="24"/>
          <w:szCs w:val="24"/>
        </w:rPr>
        <w:t xml:space="preserve">１．件名</w:t>
      </w:r>
    </w:p>
    <w:p>
      <w:pPr>
        <w:spacing w:before="0" w:after="60" w:line="288" w:lineRule="auto"/>
      </w:pP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　　　　　　　　　　　　　　　　　　　　　の導入について（　　　　　　　円）</w:t>
      </w:r>
    </w:p>
    <w:p>
      <w:pPr>
        <w:spacing w:before="0" w:after="120" w:line="288" w:lineRule="auto"/>
        <w:ind w:left="20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何を、いくらで。この1行だけで中身が伝わる書き方にします。</w:t>
      </w:r>
    </w:p>
    <w:p>
      <w:pPr>
        <w:spacing w:before="240" w:after="100" w:line="288" w:lineRule="auto"/>
      </w:pPr>
      <w:r>
        <w:rPr>
          <w:rFonts w:ascii="游ゴシック" w:eastAsia="游ゴシック" w:hAnsi="游ゴシック"/>
          <w:b/>
          <w:color w:val="1C8273"/>
          <w:sz w:val="24"/>
          <w:szCs w:val="24"/>
        </w:rPr>
        <w:t xml:space="preserve">２．現状と、困っていること</w:t>
      </w:r>
    </w:p>
    <w:p>
      <w:pPr>
        <w:spacing w:before="0" w:after="120" w:line="288" w:lineRule="auto"/>
        <w:ind w:left="20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「効率化したい」ではなく、今どうなっているかを数字で書きます。</w:t>
      </w:r>
    </w:p>
    <w:tbl>
      <w:tblPr>
        <w:tblW w:w="0" w:type="auto"/>
        <w:tblBorders>
          <w:top w:val="single" w:sz="4" w:space="0" w:color="D8DCE2"/>
          <w:left w:val="single" w:sz="4" w:space="0" w:color="D8DCE2"/>
          <w:bottom w:val="single" w:sz="4" w:space="0" w:color="D8DCE2"/>
          <w:right w:val="single" w:sz="4" w:space="0" w:color="D8DCE2"/>
          <w:insideH w:val="single" w:sz="4" w:space="0" w:color="D8DCE2"/>
          <w:insideV w:val="single" w:sz="4" w:space="0" w:color="D8DCE2"/>
        </w:tblBorders>
      </w:tblPr>
      <w:tr>
        <w:tc>
          <w:tcPr>
            <w:tcW w:w="2600" w:type="dxa"/>
            <w:shd w:val="clear" w:color="auto" w:fill="EDF3F2"/>
            <w:vAlign w:val="center"/>
          </w:tcPr>
          <w:p>
            <w:pPr>
              <w:spacing w:before="0" w:after="20" w:line="288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項目</w:t>
            </w:r>
          </w:p>
        </w:tc>
        <w:tc>
          <w:tcPr>
            <w:tcW w:w="6200" w:type="dxa"/>
            <w:shd w:val="clear" w:color="auto" w:fill="EDF3F2"/>
            <w:vAlign w:val="center"/>
          </w:tcPr>
          <w:p>
            <w:pPr>
              <w:spacing w:before="0" w:after="20" w:line="288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今の状態（数字で）</w:t>
            </w:r>
          </w:p>
        </w:tc>
      </w:tr>
      <w:tr>
        <w:tc>
          <w:tcPr>
            <w:tcW w:w="26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かかっている時間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26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人数・体制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26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起きているミス・手戻り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26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待ち時間・滞留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26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止まったときの影響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</w:tbl>
    <w:p>
      <w:pPr>
        <w:spacing w:before="0" w:after="0" w:line="288" w:lineRule="auto"/>
      </w:pPr>
      <w:r>
        <w:rPr>
          <w:rFonts w:ascii="游ゴシック" w:eastAsia="游ゴシック" w:hAnsi="游ゴシック"/>
          <w:color w:val="13233A"/>
          <w:sz w:val="12"/>
          <w:szCs w:val="12"/>
        </w:rPr>
        <w:t xml:space="preserve"/>
      </w:r>
    </w:p>
    <w:p>
      <w:pPr>
        <w:spacing w:before="0" w:after="60" w:line="288" w:lineRule="auto"/>
        <w:ind w:left="200"/>
      </w:pP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金額に換算すると：年　　　　　　　　円 相当</w:t>
      </w:r>
    </w:p>
    <w:p>
      <w:pPr>
        <w:spacing w:before="0" w:after="120" w:line="288" w:lineRule="auto"/>
        <w:ind w:left="20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時給換算で構いません。厳密さより規模感が伝わることが大事です。数字が無いなら、1か月だけ実測してから書いてください。</w:t>
      </w:r>
    </w:p>
    <w:p>
      <w:pPr>
        <w:spacing w:before="240" w:after="100" w:line="288" w:lineRule="auto"/>
      </w:pPr>
      <w:r>
        <w:rPr>
          <w:rFonts w:ascii="游ゴシック" w:eastAsia="游ゴシック" w:hAnsi="游ゴシック"/>
          <w:b/>
          <w:color w:val="1C8273"/>
          <w:sz w:val="24"/>
          <w:szCs w:val="24"/>
        </w:rPr>
        <w:t xml:space="preserve">３．導入するもの</w:t>
      </w:r>
    </w:p>
    <w:p>
      <w:pPr>
        <w:spacing w:before="0" w:after="40" w:line="288" w:lineRule="auto"/>
      </w:pP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製品・サービス名：　　　　　　　　　　　　　　　　　　　　</w:t>
      </w:r>
    </w:p>
    <w:p>
      <w:pPr>
        <w:spacing w:before="0" w:after="40" w:line="288" w:lineRule="auto"/>
      </w:pP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何をするものか（1〜2行）：</w:t>
      </w:r>
    </w:p>
    <w:p>
      <w:pPr>
        <w:spacing w:before="0" w:after="40" w:line="288" w:lineRule="auto"/>
      </w:pPr>
      <w:r>
        <w:rPr>
          <w:rFonts w:ascii="游ゴシック" w:eastAsia="游ゴシック" w:hAnsi="游ゴシック"/>
          <w:color w:val="D8DCE2"/>
          <w:sz w:val="21"/>
          <w:szCs w:val="21"/>
        </w:rPr>
        <w:t xml:space="preserve">　＿＿＿＿＿＿＿＿＿＿＿＿＿＿＿＿＿＿＿＿＿＿＿＿＿＿＿＿＿＿＿＿＿＿＿＿＿＿＿＿</w:t>
      </w:r>
    </w:p>
    <w:p>
      <w:pPr>
        <w:spacing w:before="0" w:after="120" w:line="288" w:lineRule="auto"/>
        <w:ind w:left="20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技術の説明は要りません。決裁者は仕組みではなく用途を見ています。</w:t>
      </w:r>
    </w:p>
    <w:p>
      <w:pPr>
        <w:spacing w:before="240" w:after="100" w:line="288" w:lineRule="auto"/>
      </w:pPr>
      <w:r>
        <w:rPr>
          <w:rFonts w:ascii="游ゴシック" w:eastAsia="游ゴシック" w:hAnsi="游ゴシック"/>
          <w:b/>
          <w:color w:val="1C8273"/>
          <w:sz w:val="24"/>
          <w:szCs w:val="24"/>
        </w:rPr>
        <w:t xml:space="preserve">４．費用</w:t>
      </w:r>
    </w:p>
    <w:tbl>
      <w:tblPr>
        <w:tblW w:w="0" w:type="auto"/>
        <w:tblBorders>
          <w:top w:val="single" w:sz="4" w:space="0" w:color="D8DCE2"/>
          <w:left w:val="single" w:sz="4" w:space="0" w:color="D8DCE2"/>
          <w:bottom w:val="single" w:sz="4" w:space="0" w:color="D8DCE2"/>
          <w:right w:val="single" w:sz="4" w:space="0" w:color="D8DCE2"/>
          <w:insideH w:val="single" w:sz="4" w:space="0" w:color="D8DCE2"/>
          <w:insideV w:val="single" w:sz="4" w:space="0" w:color="D8DCE2"/>
        </w:tblBorders>
      </w:tblPr>
      <w:tr>
        <w:tc>
          <w:tcPr>
            <w:tcW w:w="2400" w:type="dxa"/>
            <w:shd w:val="clear" w:color="auto" w:fill="EDF3F2"/>
            <w:vAlign w:val="center"/>
          </w:tcPr>
          <w:p>
            <w:pPr>
              <w:spacing w:before="0" w:after="20" w:line="288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/>
            </w:r>
          </w:p>
        </w:tc>
        <w:tc>
          <w:tcPr>
            <w:tcW w:w="2100" w:type="dxa"/>
            <w:shd w:val="clear" w:color="auto" w:fill="EDF3F2"/>
            <w:vAlign w:val="center"/>
          </w:tcPr>
          <w:p>
            <w:pPr>
              <w:spacing w:before="0" w:after="20" w:line="288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初期費用</w:t>
            </w:r>
          </w:p>
        </w:tc>
        <w:tc>
          <w:tcPr>
            <w:tcW w:w="2100" w:type="dxa"/>
            <w:shd w:val="clear" w:color="auto" w:fill="EDF3F2"/>
            <w:vAlign w:val="center"/>
          </w:tcPr>
          <w:p>
            <w:pPr>
              <w:spacing w:before="0" w:after="20" w:line="288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年間費用</w:t>
            </w:r>
          </w:p>
        </w:tc>
        <w:tc>
          <w:tcPr>
            <w:tcW w:w="2200" w:type="dxa"/>
            <w:shd w:val="clear" w:color="auto" w:fill="EDF3F2"/>
            <w:vAlign w:val="center"/>
          </w:tcPr>
          <w:p>
            <w:pPr>
              <w:spacing w:before="0" w:after="20" w:line="288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3年総額</w:t>
            </w:r>
          </w:p>
        </w:tc>
      </w:tr>
      <w:tr>
        <w:tc>
          <w:tcPr>
            <w:tcW w:w="24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本体・ライセンス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24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導入・設定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24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保守・サポート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24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社内の工数（換算）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24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合計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</w:tbl>
    <w:p>
      <w:pPr>
        <w:spacing w:before="0" w:after="0" w:line="288" w:lineRule="auto"/>
      </w:pPr>
      <w:r>
        <w:rPr>
          <w:rFonts w:ascii="游ゴシック" w:eastAsia="游ゴシック" w:hAnsi="游ゴシック"/>
          <w:color w:val="13233A"/>
          <w:sz w:val="12"/>
          <w:szCs w:val="12"/>
        </w:rPr>
        <w:t xml:space="preserve"/>
      </w:r>
    </w:p>
    <w:p>
      <w:pPr>
        <w:spacing w:before="0" w:after="120" w:line="288" w:lineRule="auto"/>
        <w:ind w:left="20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社内の工数を入れておくと、あとで「思ったより手間だった」と言われません。</w:t>
      </w:r>
    </w:p>
    <w:p>
      <w:pPr>
        <w:spacing w:before="240" w:after="100" w:line="288" w:lineRule="auto"/>
      </w:pPr>
      <w:r>
        <w:rPr>
          <w:rFonts w:ascii="游ゴシック" w:eastAsia="游ゴシック" w:hAnsi="游ゴシック"/>
          <w:b/>
          <w:color w:val="1C8273"/>
          <w:sz w:val="24"/>
          <w:szCs w:val="24"/>
        </w:rPr>
        <w:t xml:space="preserve">５．効果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・金額：</w:t>
      </w: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年　　　　　　円（　　　時間 × 　　　円）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・件数：</w:t>
      </w: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月　　　　件 → 月　　　　件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・日数：</w:t>
      </w: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平均　　　日 → 平均　　　日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・金額にならない効果：</w:t>
      </w: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　</w:t>
      </w:r>
    </w:p>
    <w:p>
      <w:pPr>
        <w:spacing w:before="0" w:after="120" w:line="288" w:lineRule="auto"/>
        <w:ind w:left="20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回収期間 ＝ 初期費用 ÷ 年間の効果額 ＝ 約　　　年</w:t>
      </w:r>
    </w:p>
    <w:p>
      <w:pPr>
        <w:spacing w:before="240" w:after="100" w:line="288" w:lineRule="auto"/>
      </w:pPr>
      <w:r>
        <w:rPr>
          <w:rFonts w:ascii="游ゴシック" w:eastAsia="游ゴシック" w:hAnsi="游ゴシック"/>
          <w:b/>
          <w:color w:val="1C8273"/>
          <w:sz w:val="24"/>
          <w:szCs w:val="24"/>
        </w:rPr>
        <w:t xml:space="preserve">６．比較検討</w:t>
      </w:r>
    </w:p>
    <w:tbl>
      <w:tblPr>
        <w:tblW w:w="0" w:type="auto"/>
        <w:tblBorders>
          <w:top w:val="single" w:sz="4" w:space="0" w:color="D8DCE2"/>
          <w:left w:val="single" w:sz="4" w:space="0" w:color="D8DCE2"/>
          <w:bottom w:val="single" w:sz="4" w:space="0" w:color="D8DCE2"/>
          <w:right w:val="single" w:sz="4" w:space="0" w:color="D8DCE2"/>
          <w:insideH w:val="single" w:sz="4" w:space="0" w:color="D8DCE2"/>
          <w:insideV w:val="single" w:sz="4" w:space="0" w:color="D8DCE2"/>
        </w:tblBorders>
      </w:tblPr>
      <w:tr>
        <w:tc>
          <w:tcPr>
            <w:tcW w:w="1900" w:type="dxa"/>
            <w:shd w:val="clear" w:color="auto" w:fill="EDF3F2"/>
            <w:vAlign w:val="center"/>
          </w:tcPr>
          <w:p>
            <w:pPr>
              <w:spacing w:before="0" w:after="20" w:line="288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/>
            </w:r>
          </w:p>
        </w:tc>
        <w:tc>
          <w:tcPr>
            <w:tcW w:w="2200" w:type="dxa"/>
            <w:shd w:val="clear" w:color="auto" w:fill="EDF3F2"/>
            <w:vAlign w:val="center"/>
          </w:tcPr>
          <w:p>
            <w:pPr>
              <w:spacing w:before="0" w:after="20" w:line="288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案A：今のまま</w:t>
            </w:r>
          </w:p>
        </w:tc>
        <w:tc>
          <w:tcPr>
            <w:tcW w:w="2350" w:type="dxa"/>
            <w:shd w:val="clear" w:color="auto" w:fill="EDF3F2"/>
            <w:vAlign w:val="center"/>
          </w:tcPr>
          <w:p>
            <w:pPr>
              <w:spacing w:before="0" w:after="20" w:line="288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案B：</w:t>
            </w:r>
          </w:p>
        </w:tc>
        <w:tc>
          <w:tcPr>
            <w:tcW w:w="2350" w:type="dxa"/>
            <w:shd w:val="clear" w:color="auto" w:fill="EDF3F2"/>
            <w:vAlign w:val="center"/>
          </w:tcPr>
          <w:p>
            <w:pPr>
              <w:spacing w:before="0" w:after="20" w:line="288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案C：</w:t>
            </w:r>
          </w:p>
        </w:tc>
      </w:tr>
      <w:tr>
        <w:tc>
          <w:tcPr>
            <w:tcW w:w="19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初期費用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0円</w:t>
            </w:r>
          </w:p>
        </w:tc>
        <w:tc>
          <w:tcPr>
            <w:tcW w:w="235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35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19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年間費用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0円</w:t>
            </w:r>
          </w:p>
        </w:tc>
        <w:tc>
          <w:tcPr>
            <w:tcW w:w="235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35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19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3年総額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0円</w:t>
            </w:r>
          </w:p>
        </w:tc>
        <w:tc>
          <w:tcPr>
            <w:tcW w:w="235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35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19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効果（年）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—</w:t>
            </w:r>
          </w:p>
        </w:tc>
        <w:tc>
          <w:tcPr>
            <w:tcW w:w="235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35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19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リスク・懸念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35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35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</w:tbl>
    <w:p>
      <w:pPr>
        <w:spacing w:before="0" w:after="0" w:line="288" w:lineRule="auto"/>
      </w:pPr>
      <w:r>
        <w:rPr>
          <w:rFonts w:ascii="游ゴシック" w:eastAsia="游ゴシック" w:hAnsi="游ゴシック"/>
          <w:color w:val="13233A"/>
          <w:sz w:val="12"/>
          <w:szCs w:val="12"/>
        </w:rPr>
        <w:t xml:space="preserve"/>
      </w:r>
    </w:p>
    <w:p>
      <w:pPr>
        <w:spacing w:before="0" w:after="60" w:line="288" w:lineRule="auto"/>
        <w:ind w:left="200"/>
      </w:pP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推す案：　　　　　　　　　　理由：</w:t>
      </w:r>
    </w:p>
    <w:p>
      <w:pPr>
        <w:spacing w:before="0" w:after="120" w:line="288" w:lineRule="auto"/>
        <w:ind w:left="20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案Aの「今のまま」を必ず残してください。何もしない場合も検討したことが伝わり、結論ありきに見えなくなります。</w:t>
      </w:r>
    </w:p>
    <w:p>
      <w:pPr>
        <w:spacing w:before="240" w:after="100" w:line="288" w:lineRule="auto"/>
      </w:pPr>
      <w:r>
        <w:rPr>
          <w:rFonts w:ascii="游ゴシック" w:eastAsia="游ゴシック" w:hAnsi="游ゴシック"/>
          <w:b/>
          <w:color w:val="C8842B"/>
          <w:sz w:val="24"/>
          <w:szCs w:val="24"/>
        </w:rPr>
        <w:t xml:space="preserve">７．リスクと、やめるときの手順</w:t>
      </w:r>
    </w:p>
    <w:p>
      <w:pPr>
        <w:spacing w:before="0" w:after="120" w:line="288" w:lineRule="auto"/>
        <w:ind w:left="20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ここが書いてあると決裁は通りやすくなります。決める人がいちばん怖いのは、引き返せないことです。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・契約は　　　年単位。解約の通知は　　　か月前まで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・データは（　CSV　/　Excel　/　その他　　　　　　）で取り出せる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・やめた場合は（　　　　　　　　　　　　　　　　）に戻せる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・うまくいかない可能性：</w:t>
      </w:r>
    </w:p>
    <w:p>
      <w:pPr>
        <w:spacing w:before="0" w:after="60" w:line="288" w:lineRule="auto"/>
      </w:pPr>
      <w:r>
        <w:rPr>
          <w:rFonts w:ascii="游ゴシック" w:eastAsia="游ゴシック" w:hAnsi="游ゴシック"/>
          <w:color w:val="D8DCE2"/>
          <w:sz w:val="21"/>
          <w:szCs w:val="21"/>
        </w:rPr>
        <w:t xml:space="preserve">　＿＿＿＿＿＿＿＿＿＿＿＿＿＿＿＿＿＿＿＿＿＿＿＿＿＿＿＿＿＿＿＿＿＿＿＿＿＿＿＿</w:t>
      </w:r>
    </w:p>
    <w:p>
      <w:pPr>
        <w:spacing w:before="240" w:after="100" w:line="288" w:lineRule="auto"/>
      </w:pPr>
      <w:r>
        <w:rPr>
          <w:rFonts w:ascii="游ゴシック" w:eastAsia="游ゴシック" w:hAnsi="游ゴシック"/>
          <w:b/>
          <w:color w:val="1C8273"/>
          <w:sz w:val="24"/>
          <w:szCs w:val="24"/>
        </w:rPr>
        <w:t xml:space="preserve">８．進め方とスケジュール</w:t>
      </w:r>
    </w:p>
    <w:tbl>
      <w:tblPr>
        <w:tblW w:w="0" w:type="auto"/>
        <w:tblBorders>
          <w:top w:val="single" w:sz="4" w:space="0" w:color="D8DCE2"/>
          <w:left w:val="single" w:sz="4" w:space="0" w:color="D8DCE2"/>
          <w:bottom w:val="single" w:sz="4" w:space="0" w:color="D8DCE2"/>
          <w:right w:val="single" w:sz="4" w:space="0" w:color="D8DCE2"/>
          <w:insideH w:val="single" w:sz="4" w:space="0" w:color="D8DCE2"/>
          <w:insideV w:val="single" w:sz="4" w:space="0" w:color="D8DCE2"/>
        </w:tblBorders>
      </w:tblPr>
      <w:tr>
        <w:tc>
          <w:tcPr>
            <w:tcW w:w="1600" w:type="dxa"/>
            <w:shd w:val="clear" w:color="auto" w:fill="EDF3F2"/>
            <w:vAlign w:val="center"/>
          </w:tcPr>
          <w:p>
            <w:pPr>
              <w:spacing w:before="0" w:after="20" w:line="288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時期</w:t>
            </w:r>
          </w:p>
        </w:tc>
        <w:tc>
          <w:tcPr>
            <w:tcW w:w="5000" w:type="dxa"/>
            <w:shd w:val="clear" w:color="auto" w:fill="EDF3F2"/>
            <w:vAlign w:val="center"/>
          </w:tcPr>
          <w:p>
            <w:pPr>
              <w:spacing w:before="0" w:after="20" w:line="288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やること</w:t>
            </w:r>
          </w:p>
        </w:tc>
        <w:tc>
          <w:tcPr>
            <w:tcW w:w="2200" w:type="dxa"/>
            <w:shd w:val="clear" w:color="auto" w:fill="EDF3F2"/>
            <w:vAlign w:val="center"/>
          </w:tcPr>
          <w:p>
            <w:pPr>
              <w:spacing w:before="0" w:after="20" w:line="288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だれが</w:t>
            </w:r>
          </w:p>
        </w:tc>
      </w:tr>
      <w:tr>
        <w:tc>
          <w:tcPr>
            <w:tcW w:w="16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　月</w:t>
            </w:r>
          </w:p>
        </w:tc>
        <w:tc>
          <w:tcPr>
            <w:tcW w:w="50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決裁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16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　月</w:t>
            </w:r>
          </w:p>
        </w:tc>
        <w:tc>
          <w:tcPr>
            <w:tcW w:w="50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契約・準備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16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　月</w:t>
            </w:r>
          </w:p>
        </w:tc>
        <w:tc>
          <w:tcPr>
            <w:tcW w:w="50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試験導入（　　　部署・　　名）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16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　月</w:t>
            </w:r>
          </w:p>
        </w:tc>
        <w:tc>
          <w:tcPr>
            <w:tcW w:w="50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本稼働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16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　月</w:t>
            </w:r>
          </w:p>
        </w:tc>
        <w:tc>
          <w:tcPr>
            <w:tcW w:w="50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効果の確認・報告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88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</w:tbl>
    <w:p>
      <w:pPr>
        <w:spacing w:before="0" w:after="0" w:line="288" w:lineRule="auto"/>
      </w:pPr>
      <w:r>
        <w:rPr>
          <w:rFonts w:ascii="游ゴシック" w:eastAsia="游ゴシック" w:hAnsi="游ゴシック"/>
          <w:color w:val="13233A"/>
          <w:sz w:val="12"/>
          <w:szCs w:val="12"/>
        </w:rPr>
        <w:t xml:space="preserve"/>
      </w:r>
    </w:p>
    <w:p>
      <w:pPr>
        <w:spacing w:before="0" w:after="120" w:line="288" w:lineRule="auto"/>
        <w:ind w:left="20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「まず1部署で3か月」のように段階を示すと、決裁の重さが下がります。</w:t>
      </w:r>
    </w:p>
    <w:p>
      <w:pPr>
        <w:spacing w:before="240" w:after="100" w:line="288" w:lineRule="auto"/>
      </w:pPr>
      <w:r>
        <w:rPr>
          <w:rFonts w:ascii="游ゴシック" w:eastAsia="游ゴシック" w:hAnsi="游ゴシック"/>
          <w:b/>
          <w:color w:val="1C8273"/>
          <w:sz w:val="24"/>
          <w:szCs w:val="24"/>
        </w:rPr>
        <w:t xml:space="preserve">９．添付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・見積書（　　社分）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・製品資料</w:t>
      </w:r>
    </w:p>
    <w:p>
      <w:pPr>
        <w:spacing w:before="0" w:after="40" w:line="288" w:lineRule="auto"/>
        <w:ind w:left="200"/>
      </w:pPr>
      <w:r>
        <w:rPr>
          <w:rFonts w:ascii="游ゴシック" w:eastAsia="游ゴシック" w:hAnsi="游ゴシック"/>
          <w:color w:val="13233A"/>
          <w:sz w:val="21"/>
          <w:szCs w:val="21"/>
        </w:rPr>
        <w:t xml:space="preserve">・現状の実測データ（　　月〜　　月）</w:t>
      </w:r>
    </w:p>
    <w:p>
      <w:pPr>
        <w:spacing w:before="280" w:after="80" w:line="288" w:lineRule="auto"/>
        <w:shd w:val="clear" w:color="auto" w:fill="FDFAF5"/>
      </w:pPr>
      <w:r>
        <w:rPr>
          <w:rFonts w:ascii="游ゴシック" w:eastAsia="游ゴシック" w:hAnsi="游ゴシック"/>
          <w:b/>
          <w:color w:val="C8842B"/>
          <w:sz w:val="22"/>
          <w:szCs w:val="22"/>
        </w:rPr>
        <w:t xml:space="preserve">差し戻されたら、ここを見直してください</w:t>
      </w:r>
    </w:p>
    <w:p>
      <w:pPr>
        <w:spacing w:before="0" w:after="40" w:line="288" w:lineRule="auto"/>
        <w:ind w:left="200"/>
        <w:shd w:val="clear" w:color="auto" w:fill="FDFAF5"/>
      </w:pPr>
      <w:r>
        <w:rPr>
          <w:rFonts w:ascii="游ゴシック" w:eastAsia="游ゴシック" w:hAnsi="游ゴシック"/>
          <w:color w:val="13233A"/>
          <w:sz w:val="19"/>
          <w:szCs w:val="19"/>
        </w:rPr>
        <w:t xml:space="preserve">・数字が信用されていない → どう測ったかを1行足す（いつ、誰が、何件分を実測したか）</w:t>
      </w:r>
    </w:p>
    <w:p>
      <w:pPr>
        <w:spacing w:before="0" w:after="40" w:line="288" w:lineRule="auto"/>
        <w:ind w:left="200"/>
        <w:shd w:val="clear" w:color="auto" w:fill="FDFAF5"/>
      </w:pPr>
      <w:r>
        <w:rPr>
          <w:rFonts w:ascii="游ゴシック" w:eastAsia="游ゴシック" w:hAnsi="游ゴシック"/>
          <w:color w:val="13233A"/>
          <w:sz w:val="19"/>
          <w:szCs w:val="19"/>
        </w:rPr>
        <w:t xml:space="preserve">・今でなくてもいい → なぜ今かを足す（保守切れ、法令の期限、繁忙期の前、人の退職）</w:t>
      </w:r>
    </w:p>
    <w:p>
      <w:pPr>
        <w:spacing w:before="0" w:after="40" w:line="288" w:lineRule="auto"/>
        <w:ind w:left="200"/>
        <w:shd w:val="clear" w:color="auto" w:fill="FDFAF5"/>
      </w:pPr>
      <w:r>
        <w:rPr>
          <w:rFonts w:ascii="游ゴシック" w:eastAsia="游ゴシック" w:hAnsi="游ゴシック"/>
          <w:color w:val="13233A"/>
          <w:sz w:val="19"/>
          <w:szCs w:val="19"/>
        </w:rPr>
        <w:t xml:space="preserve">・誰が使うのか見えない → 使う部署の同意を先に取り、その部署名を書く</w:t>
      </w:r>
    </w:p>
    <w:p>
      <w:pPr>
        <w:spacing w:before="0" w:after="40" w:line="288" w:lineRule="auto"/>
        <w:ind w:left="200"/>
        <w:shd w:val="clear" w:color="auto" w:fill="FDFAF5"/>
      </w:pPr>
      <w:r>
        <w:rPr>
          <w:rFonts w:ascii="游ゴシック" w:eastAsia="游ゴシック" w:hAnsi="游ゴシック"/>
          <w:color w:val="13233A"/>
          <w:sz w:val="19"/>
          <w:szCs w:val="19"/>
        </w:rPr>
        <w:t xml:space="preserve">・情シスだけの話に見える → 現場の人の具体的な言葉を1行入れる</w:t>
      </w:r>
    </w:p>
    <w:p>
      <w:pPr>
        <w:spacing w:before="0" w:after="60" w:line="288" w:lineRule="auto"/>
        <w:ind w:left="200"/>
        <w:shd w:val="clear" w:color="auto" w:fill="FDFAF5"/>
      </w:pPr>
      <w:r>
        <w:rPr>
          <w:rFonts w:ascii="游ゴシック" w:eastAsia="游ゴシック" w:hAnsi="游ゴシック"/>
          <w:color w:val="5A6472"/>
          <w:sz w:val="19"/>
          <w:szCs w:val="19"/>
        </w:rPr>
        <w:t xml:space="preserve">補助金を主な理由にしないでください。取れなかったときに全部止まります。その仕組みが必要かどうかは、補助金と関係なく決まる話です。</w:t>
      </w:r>
    </w:p>
    <w:p>
      <w:pPr>
        <w:spacing w:before="280" w:after="40" w:line="288" w:lineRule="auto"/>
      </w:pPr>
      <w:r>
        <w:rPr>
          <w:rFonts w:ascii="游ゴシック" w:eastAsia="游ゴシック" w:hAnsi="游ゴシック"/>
          <w:color w:val="5A6472"/>
          <w:sz w:val="17"/>
          <w:szCs w:val="17"/>
        </w:rPr>
        <w:t xml:space="preserve">このひな形は OKD SOFT が無料で配布しています。社内での利用・改変・配布は自由です（転載・再配布・販売はご遠慮ください）。内容の正確性を保証するものではなく、自社の状況と稟議の様式に合わせて必ず調整してください。</w:t>
      </w:r>
    </w:p>
    <w:p>
      <w:pPr>
        <w:spacing w:before="0" w:after="40" w:line="288" w:lineRule="auto"/>
      </w:pPr>
      <w:r>
        <w:rPr>
          <w:rFonts w:ascii="游ゴシック" w:eastAsia="游ゴシック" w:hAnsi="游ゴシック"/>
          <w:color w:val="5A6472"/>
          <w:sz w:val="17"/>
          <w:szCs w:val="17"/>
        </w:rPr>
        <w:t xml:space="preserve">書いてはみたが通る気がしない、という段階でのご相談も受けています（無料）。</w:t>
      </w:r>
    </w:p>
    <w:p>
      <w:pPr>
        <w:spacing w:before="0" w:after="60" w:line="288" w:lineRule="auto"/>
      </w:pPr>
      <w:r>
        <w:rPr>
          <w:rFonts w:ascii="游ゴシック" w:eastAsia="游ゴシック" w:hAnsi="游ゴシック"/>
          <w:color w:val="5A6472"/>
          <w:sz w:val="17"/>
          <w:szCs w:val="17"/>
        </w:rPr>
        <w:t xml:space="preserve">OKD SOFT ／ https://okd-soft.com/ ／ r-okuda@okd-soft.com</w:t>
      </w:r>
    </w:p>
    <w:sectPr>
      <w:pgSz w:w="11906" w:h="16838"/>
      <w:pgMar w:top="1134" w:right="1134" w:bottom="1134" w:left="1134" w:header="851" w:footer="992" w:gutter="0"/>
    </w:sectPr>
  </w:body>
</w:document>
</file>

<file path=word/_rels/document.xml.rels><?xml version="1.0" encoding="UTF-8" standalone="yes"?><Relationships xmlns="http://schemas.openxmlformats.org/package/2006/relationships"/>
</file>